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C6BB" w:sz="6" w:space="8"/>
        </w:pBdr>
        <w:spacing w:after="60" w:before="600"/>
      </w:pPr>
      <w:r>
        <w:rPr>
          <w:rFonts w:ascii="Consolas" w:cs="Consolas" w:eastAsia="Consolas" w:hAnsi="Consolas"/>
          <w:color w:val="5A5F66"/>
          <w:sz w:val="17"/>
          <w:szCs w:val="17"/>
        </w:rPr>
        <w:t xml:space="preserve">CLAREZA &amp; AÇÃO  ·  GOVERNANÇA DE IA  ·  TEMPLATE Nº 001  ·  V. 1.0</w:t>
      </w:r>
    </w:p>
    <w:p>
      <w:pPr>
        <w:spacing w:after="240" w:before="2200"/>
      </w:pPr>
      <w:r>
        <w:rPr>
          <w:rFonts w:ascii="Georgia" w:cs="Georgia" w:eastAsia="Georgia" w:hAnsi="Georgia"/>
          <w:color w:val="1B2027"/>
          <w:sz w:val="52"/>
          <w:szCs w:val="52"/>
        </w:rPr>
        <w:t xml:space="preserve">Política de Uso e Governança de</w:t>
      </w:r>
    </w:p>
    <w:p>
      <w:pPr>
        <w:spacing w:after="480"/>
      </w:pPr>
      <w:r>
        <w:rPr>
          <w:rFonts w:ascii="Georgia" w:cs="Georgia" w:eastAsia="Georgia" w:hAnsi="Georgia"/>
          <w:i/>
          <w:iCs/>
          <w:color w:val="1D3FBF"/>
          <w:sz w:val="64"/>
          <w:szCs w:val="64"/>
        </w:rPr>
        <w:t xml:space="preserve">Inteligência Artificial</w:t>
      </w:r>
    </w:p>
    <w:p>
      <w:pPr>
        <w:spacing w:after="12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Documento interno de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[NOME DA EMPRESA]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— template estruturado sob as diretrizes da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ISO/IEC 42001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, da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LGPD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e do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PL 2338/2023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.</w:t>
      </w:r>
    </w:p>
    <w:p>
      <w:pPr>
        <w:spacing w:after="40" w:before="3300"/>
      </w:pPr>
      <w:r>
        <w:rPr>
          <w:rFonts w:ascii="Georgia" w:cs="Georgia" w:eastAsia="Georgia" w:hAnsi="Georgia"/>
          <w:i/>
          <w:iCs/>
          <w:color w:val="1B2027"/>
          <w:sz w:val="24"/>
          <w:szCs w:val="24"/>
        </w:rPr>
        <w:t xml:space="preserve">Clareza antes da automação.</w:t>
      </w:r>
    </w:p>
    <w:p>
      <w:r>
        <w:rPr>
          <w:rFonts w:ascii="Consolas" w:cs="Consolas" w:eastAsia="Consolas" w:hAnsi="Consolas"/>
          <w:color w:val="5A5F66"/>
          <w:sz w:val="16"/>
          <w:szCs w:val="16"/>
        </w:rPr>
        <w:t xml:space="preserve">Template elaborado por Luiz Zasevski Leal · Clareza &amp; Ação · clarezaeacao.com.br</w:t>
      </w:r>
    </w:p>
    <w:p>
      <w:r>
        <w:br w:type="page"/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§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Como usar este template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Este documento é um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ponto de partida estruturado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para a política de IA da sua empresa — não um documento pronto. Ele organiza as decisões que a sua liderança precisa tomar; não as toma por você.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Substitua todos os campos em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[AZUL E COLCHETES]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pelo conteúdo da sua realidade.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As caixas </w:t>
      </w:r>
      <w:r>
        <w:rPr>
          <w:rFonts w:ascii="Consolas" w:cs="Consolas" w:eastAsia="Consolas" w:hAnsi="Consolas"/>
          <w:b/>
          <w:bCs/>
          <w:color w:val="1D3FBF"/>
          <w:sz w:val="18"/>
          <w:szCs w:val="18"/>
        </w:rPr>
        <w:t xml:space="preserve">NOTA DE PREENCHIMENTO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orientam a decisão de cada seção — apague-as na versão final.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Corte o que não se aplica ao seu porte; acrescente o que a sua operação exigir.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Submeta a versão final ao jurídico e ao encarregado de dados (DPO) antes de publicar.</w:t>
      </w:r>
    </w:p>
    <w:p>
      <w:pPr>
        <w:spacing w:after="120"/>
      </w:pPr>
    </w:p>
    <w:tbl>
      <w:tblPr>
        <w:tblW w:type="dxa" w:w="9026"/>
        <w:tblBorders>
          <w:top w:val="single" w:color="1D3FBF" w:sz="4"/>
          <w:left w:val="single" w:color="1D3FBF" w:sz="12"/>
          <w:bottom w:val="single" w:color="1D3FBF" w:sz="4"/>
          <w:right w:val="single" w:color="1D3FBF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EF1FB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/>
                <w:bCs/>
                <w:color w:val="1D3FBF"/>
                <w:sz w:val="17"/>
                <w:szCs w:val="17"/>
              </w:rPr>
              <w:t xml:space="preserve">NOTA DE PREENCHIMENTO — </w:t>
            </w:r>
            <w:r>
              <w:rPr>
                <w:rFonts w:ascii="Calibri" w:cs="Calibri" w:eastAsia="Calibri" w:hAnsi="Calibri"/>
                <w:i/>
                <w:iCs/>
                <w:color w:val="5A5F66"/>
                <w:sz w:val="20"/>
                <w:szCs w:val="20"/>
              </w:rPr>
              <w:t xml:space="preserve">Aviso importante: este template tem caráter educativo e não substitui assessoria jurídica nem constitui, por si só, um Sistema de Gestão de IA (SGIA) conforme a ISO/IEC 42001. Ele corresponde ao artefato exigido pela Cláusula 5.2 da norma (Política de IA) — o primeiro tijolo, não o prédio.</w:t>
            </w:r>
          </w:p>
        </w:tc>
      </w:tr>
    </w:tbl>
    <w:p>
      <w:pPr>
        <w:spacing w:after="160"/>
      </w:pPr>
    </w:p>
    <w:p>
      <w:pPr>
        <w:pStyle w:val="Heading2"/>
        <w:spacing w:after="140" w:before="260"/>
      </w:pPr>
      <w:r>
        <w:rPr>
          <w:rFonts w:ascii="Georgia" w:cs="Georgia" w:eastAsia="Georgia" w:hAnsi="Georgia"/>
          <w:i/>
          <w:iCs/>
          <w:color w:val="1B2027"/>
          <w:sz w:val="24"/>
          <w:szCs w:val="24"/>
        </w:rPr>
        <w:t xml:space="preserve">Controle de versões</w:t>
      </w:r>
    </w:p>
    <w:tbl>
      <w:tblPr>
        <w:tblW w:type="dxa" w:w="9026"/>
        <w:tblBorders>
          <w:top w:val="single" w:color="C9C6BB" w:sz="4"/>
          <w:left w:val="single" w:color="C9C6BB" w:sz="4"/>
          <w:bottom w:val="single" w:color="C9C6BB" w:sz="4"/>
          <w:right w:val="single" w:color="C9C6BB" w:sz="4"/>
          <w:insideH w:val="single" w:color="C9C6BB" w:sz="4"/>
          <w:insideV w:val="single" w:color="C9C6BB" w:sz="4"/>
        </w:tblBorders>
      </w:tblPr>
      <w:tblGrid>
        <w:gridCol w:w="1100"/>
        <w:gridCol w:w="1500"/>
        <w:gridCol w:w="2800"/>
        <w:gridCol w:w="3626"/>
      </w:tblGrid>
      <w:tr>
        <w:trPr>
          <w:tblHeader/>
        </w:trPr>
        <w:tc>
          <w:tcPr>
            <w:tcW w:type="dxa" w:w="11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Versão</w:t>
            </w:r>
          </w:p>
        </w:tc>
        <w:tc>
          <w:tcPr>
            <w:tcW w:type="dxa" w:w="15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Data</w:t>
            </w:r>
          </w:p>
        </w:tc>
        <w:tc>
          <w:tcPr>
            <w:tcW w:type="dxa" w:w="28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Autor</w:t>
            </w:r>
          </w:p>
        </w:tc>
        <w:tc>
          <w:tcPr>
            <w:tcW w:type="dxa" w:w="3626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Alterações</w:t>
            </w:r>
          </w:p>
        </w:tc>
      </w:tr>
      <w:t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1.0</w:t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[DD/MM/AAAA]</w:t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[NOME / CARGO]</w:t>
            </w:r>
          </w:p>
        </w:tc>
        <w:tc>
          <w:tcPr>
            <w:tcW w:type="dxa" w:w="36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Emissão inicial.</w:t>
            </w:r>
          </w:p>
        </w:tc>
      </w:tr>
      <w:tr>
        <w:trPr>
          <w:trHeight w:val="340" w:hRule="atLeast"/>
        </w:trPr>
        <w:tc>
          <w:tcPr>
            <w:tcW w:type="dxa" w:w="11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36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2"/>
        <w:spacing w:after="140" w:before="260"/>
      </w:pPr>
      <w:r>
        <w:rPr>
          <w:rFonts w:ascii="Georgia" w:cs="Georgia" w:eastAsia="Georgia" w:hAnsi="Georgia"/>
          <w:i/>
          <w:iCs/>
          <w:color w:val="1B2027"/>
          <w:sz w:val="24"/>
          <w:szCs w:val="24"/>
        </w:rPr>
        <w:t xml:space="preserve">Aprovação — a palavra final tem nome, cargo e responsabilidade</w:t>
      </w:r>
    </w:p>
    <w:tbl>
      <w:tblPr>
        <w:tblW w:type="dxa" w:w="9026"/>
        <w:tblBorders>
          <w:top w:val="single" w:color="C9C6BB" w:sz="4"/>
          <w:left w:val="single" w:color="C9C6BB" w:sz="4"/>
          <w:bottom w:val="single" w:color="C9C6BB" w:sz="4"/>
          <w:right w:val="single" w:color="C9C6BB" w:sz="4"/>
          <w:insideH w:val="single" w:color="C9C6BB" w:sz="4"/>
          <w:insideV w:val="single" w:color="C9C6BB" w:sz="4"/>
        </w:tblBorders>
      </w:tblPr>
      <w:tblGrid>
        <w:gridCol w:w="2200"/>
        <w:gridCol w:w="2800"/>
        <w:gridCol w:w="1500"/>
        <w:gridCol w:w="2526"/>
      </w:tblGrid>
      <w:tr>
        <w:trPr>
          <w:tblHeader/>
        </w:trPr>
        <w:tc>
          <w:tcPr>
            <w:tcW w:type="dxa" w:w="22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Papel</w:t>
            </w:r>
          </w:p>
        </w:tc>
        <w:tc>
          <w:tcPr>
            <w:tcW w:type="dxa" w:w="28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Nome e cargo</w:t>
            </w:r>
          </w:p>
        </w:tc>
        <w:tc>
          <w:tcPr>
            <w:tcW w:type="dxa" w:w="15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Data</w:t>
            </w:r>
          </w:p>
        </w:tc>
        <w:tc>
          <w:tcPr>
            <w:tcW w:type="dxa" w:w="2526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Assinatura</w:t>
            </w:r>
          </w:p>
        </w:tc>
      </w:tr>
      <w:tr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Elaborado por</w:t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[NOME · CARGO]</w:t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25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Revisado por (Jurídico/DPO)</w:t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[NOME · CARGO]</w:t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25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Aprovado por (Direção)</w:t>
            </w:r>
          </w:p>
        </w:tc>
        <w:tc>
          <w:tcPr>
            <w:tcW w:type="dxa" w:w="28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[NOME · CARGO]</w:t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25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1.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Objetivo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Esta política estabelece as regras, os papéis e os limites para o uso de sistemas de Inteligência Artificial em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[NOME DA EMPRESA]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, com três finalidades: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Preservar a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Soberania Cognitiva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da organização: a autoria humana das decisões que afetam pessoas, capital e reputação.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Reduzir riscos regulatórios, de segurança da informação e de privacidade (LGPD, PL 2338/2023, ISO/IEC 42001).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Garantir que a adoção de IA resolva problemas de negócio reais — com clareza antes da automação.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2.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Escopo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Aplica-se a todos os colaboradores, estagiários, terceiros e prestadores de serviço de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[NOME DA EMPRESA]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, em qualquer unidade, e a todo sistema de IA utilizado em contexto de trabalho — incluindo ferramentas gratuitas, versões de teste e contas pessoais usadas para fins corporativos.</w:t>
      </w:r>
    </w:p>
    <w:tbl>
      <w:tblPr>
        <w:tblW w:type="dxa" w:w="9026"/>
        <w:tblBorders>
          <w:top w:val="single" w:color="1D3FBF" w:sz="4"/>
          <w:left w:val="single" w:color="1D3FBF" w:sz="12"/>
          <w:bottom w:val="single" w:color="1D3FBF" w:sz="4"/>
          <w:right w:val="single" w:color="1D3FBF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EF1FB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/>
                <w:bCs/>
                <w:color w:val="1D3FBF"/>
                <w:sz w:val="17"/>
                <w:szCs w:val="17"/>
              </w:rPr>
              <w:t xml:space="preserve">NOTA DE PREENCHIMENTO — </w:t>
            </w:r>
            <w:r>
              <w:rPr>
                <w:rFonts w:ascii="Calibri" w:cs="Calibri" w:eastAsia="Calibri" w:hAnsi="Calibri"/>
                <w:i/>
                <w:iCs/>
                <w:color w:val="5A5F66"/>
                <w:sz w:val="20"/>
                <w:szCs w:val="20"/>
              </w:rPr>
              <w:t xml:space="preserve">A última frase é a mais importante do escopo: é ela que alcança o Shadow AI. Não a enfraqueça.</w:t>
            </w:r>
          </w:p>
        </w:tc>
      </w:tr>
    </w:tbl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3.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Definições</w:t>
      </w:r>
    </w:p>
    <w:tbl>
      <w:tblPr>
        <w:tblW w:type="dxa" w:w="9026"/>
        <w:tblBorders>
          <w:top w:val="single" w:color="C9C6BB" w:sz="4"/>
          <w:left w:val="single" w:color="C9C6BB" w:sz="4"/>
          <w:bottom w:val="single" w:color="C9C6BB" w:sz="4"/>
          <w:right w:val="single" w:color="C9C6BB" w:sz="4"/>
          <w:insideH w:val="single" w:color="C9C6BB" w:sz="4"/>
          <w:insideV w:val="single" w:color="C9C6BB" w:sz="4"/>
        </w:tblBorders>
      </w:tblPr>
      <w:tblGrid>
        <w:gridCol w:w="2400"/>
        <w:gridCol w:w="6626"/>
      </w:tblGrid>
      <w:tr>
        <w:trPr>
          <w:tblHeader/>
        </w:trPr>
        <w:tc>
          <w:tcPr>
            <w:tcW w:type="dxa" w:w="24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Termo</w:t>
            </w:r>
          </w:p>
        </w:tc>
        <w:tc>
          <w:tcPr>
            <w:tcW w:type="dxa" w:w="6626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Definição adotada nesta política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Sistema de IA</w:t>
            </w:r>
          </w:p>
        </w:tc>
        <w:tc>
          <w:tcPr>
            <w:tcW w:type="dxa" w:w="66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Sistema computacional que, a partir de dados, gera conteúdo, previsões, recomendações ou decisões (inclui IA generativa, modelos preditivos e agentes autônomos).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IA generativa</w:t>
            </w:r>
          </w:p>
        </w:tc>
        <w:tc>
          <w:tcPr>
            <w:tcW w:type="dxa" w:w="66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Sistemas que produzem texto, imagem, áudio, vídeo ou código (ex.: assistentes de conversação e copilotos).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Shadow AI</w:t>
            </w:r>
          </w:p>
        </w:tc>
        <w:tc>
          <w:tcPr>
            <w:tcW w:type="dxa" w:w="66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Qualquer sistema de IA usado em contexto de trabalho sem aprovação e registro no Inventário do Anexo A.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AI Debt</w:t>
            </w:r>
          </w:p>
        </w:tc>
        <w:tc>
          <w:tcPr>
            <w:tcW w:type="dxa" w:w="66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Passivo acumulado por decisões de adoção de IA sem governança: retrabalho, dependência de fornecedor, risco regulatório e perda de rastreabilidade.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Decisão de alto risco</w:t>
            </w:r>
          </w:p>
        </w:tc>
        <w:tc>
          <w:tcPr>
            <w:tcW w:type="dxa" w:w="66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Decisão apoiada ou tomada por IA que afeta direitos de pessoas, valores financeiros relevantes, contratos, reputação ou conformidade legal (ver Seção 7).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Supervisão humana (human-in-the-loop)</w:t>
            </w:r>
          </w:p>
        </w:tc>
        <w:tc>
          <w:tcPr>
            <w:tcW w:type="dxa" w:w="66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Validação por pessoa capacitada, com autoridade e informação suficientes para contestar a saída da IA — não apenas para aprová-la.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Dados pessoais</w:t>
            </w:r>
          </w:p>
        </w:tc>
        <w:tc>
          <w:tcPr>
            <w:tcW w:type="dxa" w:w="66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Conforme a Lei nº 13.709/2018 (LGPD), incluindo dados pessoais sensíveis.</w:t>
            </w:r>
          </w:p>
        </w:tc>
      </w:tr>
    </w:tbl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4.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Princípios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O uso de IA em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[NOME DA EMPRESA]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obedece aos seguintes princípios, inspirados no </w:t>
      </w:r>
      <w:r>
        <w:rPr>
          <w:rFonts w:ascii="Calibri" w:cs="Calibri" w:eastAsia="Calibri" w:hAnsi="Calibri"/>
          <w:i/>
          <w:iCs/>
          <w:color w:val="1B2027"/>
          <w:sz w:val="21"/>
          <w:szCs w:val="21"/>
        </w:rPr>
        <w:t xml:space="preserve">Manifesto da Soberania Cognitiva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: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Autoria da decisão. 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Nenhum algoritmo tem a palavra final sobre decisão que afete pessoas, capital ou reputação; a palavra final tem nome, cargo e responsabilidade.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Clareza antes da automação. 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Nenhum processo é automatizado antes de estar compreendido, documentado e com dono definido.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Contestabilidade. 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Toda decisão de alto risco pode ser questionada, explicada e revertida por um humano capacitado.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Transparência interna. 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Todo sistema de IA em uso é conhecido, inventariado e tem responsável designado.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Privacidade e segurança desde a concepção. 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A proteção de dados não é etapa final: é pré-requisito de adoção.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Conformidade como consequência. 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A adequação regulatória decorre de governança madura, não de remendos de véspera de auditoria.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5.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Papéis e responsabilidades</w:t>
      </w:r>
    </w:p>
    <w:tbl>
      <w:tblPr>
        <w:tblW w:type="dxa" w:w="9026"/>
        <w:tblBorders>
          <w:top w:val="single" w:color="C9C6BB" w:sz="4"/>
          <w:left w:val="single" w:color="C9C6BB" w:sz="4"/>
          <w:bottom w:val="single" w:color="C9C6BB" w:sz="4"/>
          <w:right w:val="single" w:color="C9C6BB" w:sz="4"/>
          <w:insideH w:val="single" w:color="C9C6BB" w:sz="4"/>
          <w:insideV w:val="single" w:color="C9C6BB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Papel</w:t>
            </w:r>
          </w:p>
        </w:tc>
        <w:tc>
          <w:tcPr>
            <w:tcW w:type="dxa" w:w="6526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Responsabilidades principais</w:t>
            </w:r>
          </w:p>
        </w:tc>
      </w:tr>
      <w:tr>
        <w:tc>
          <w:tcPr>
            <w:tcW w:type="dxa" w:w="2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Comitê de Governança de IA</w:t>
            </w:r>
          </w:p>
        </w:tc>
        <w:tc>
          <w:tcPr>
            <w:tcW w:type="dxa" w:w="65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color w:val="1B2027"/>
                <w:sz w:val="21"/>
                <w:szCs w:val="21"/>
              </w:rPr>
              <w:t xml:space="preserve">Aprovar ferramentas e casos de uso; classificar riscos; revisar esta política; reportar à direção. Composição mínima sugerida: negócio + TI/segurança + jurídico/DPO. Membros: </w:t>
            </w: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[NOMES E CARGOS]</w:t>
            </w:r>
          </w:p>
        </w:tc>
      </w:tr>
      <w:tr>
        <w:tc>
          <w:tcPr>
            <w:tcW w:type="dxa" w:w="2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Responsável pela política</w:t>
            </w:r>
          </w:p>
        </w:tc>
        <w:tc>
          <w:tcPr>
            <w:tcW w:type="dxa" w:w="65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color w:val="1B2027"/>
                <w:sz w:val="21"/>
                <w:szCs w:val="21"/>
              </w:rPr>
              <w:t xml:space="preserve">Manter o documento vigente, conduzir revisões e responder dúvidas. Titular: </w:t>
            </w: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[NOME · CARGO]</w:t>
            </w:r>
          </w:p>
        </w:tc>
      </w:tr>
      <w:tr>
        <w:tc>
          <w:tcPr>
            <w:tcW w:type="dxa" w:w="2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Encarregado de dados (DPO)</w:t>
            </w:r>
          </w:p>
        </w:tc>
        <w:tc>
          <w:tcPr>
            <w:tcW w:type="dxa" w:w="65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color w:val="1B2027"/>
                <w:sz w:val="21"/>
                <w:szCs w:val="21"/>
              </w:rPr>
              <w:t xml:space="preserve">Avaliar impactos de privacidade (LGPD) dos casos de uso de IA. Titular: </w:t>
            </w: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[NOME · CARGO]</w:t>
            </w:r>
          </w:p>
        </w:tc>
      </w:tr>
      <w:tr>
        <w:tc>
          <w:tcPr>
            <w:tcW w:type="dxa" w:w="2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Gestores de área</w:t>
            </w:r>
          </w:p>
        </w:tc>
        <w:tc>
          <w:tcPr>
            <w:tcW w:type="dxa" w:w="65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Garantir que suas equipes usem apenas ferramentas aprovadas; identificar casos de uso e reportar incidentes.</w:t>
            </w:r>
          </w:p>
        </w:tc>
      </w:tr>
      <w:tr>
        <w:tc>
          <w:tcPr>
            <w:tcW w:type="dxa" w:w="2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Todos os colaboradores</w:t>
            </w:r>
          </w:p>
        </w:tc>
        <w:tc>
          <w:tcPr>
            <w:tcW w:type="dxa" w:w="65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Cumprir esta política; solicitar aprovação antes de usar nova ferramenta; validar saídas de IA antes de uso; reportar problemas.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1D3FBF" w:sz="4"/>
          <w:left w:val="single" w:color="1D3FBF" w:sz="12"/>
          <w:bottom w:val="single" w:color="1D3FBF" w:sz="4"/>
          <w:right w:val="single" w:color="1D3FBF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EF1FB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/>
                <w:bCs/>
                <w:color w:val="1D3FBF"/>
                <w:sz w:val="17"/>
                <w:szCs w:val="17"/>
              </w:rPr>
              <w:t xml:space="preserve">NOTA DE PREENCHIMENTO — </w:t>
            </w:r>
            <w:r>
              <w:rPr>
                <w:rFonts w:ascii="Calibri" w:cs="Calibri" w:eastAsia="Calibri" w:hAnsi="Calibri"/>
                <w:i/>
                <w:iCs/>
                <w:color w:val="5A5F66"/>
                <w:sz w:val="20"/>
                <w:szCs w:val="20"/>
              </w:rPr>
              <w:t xml:space="preserve">Em empresas menores, o Comitê pode ser substituído por dupla decisória (ex.: diretor + responsável de TI). O essencial não é o tamanho do fórum — é que exista um fórum com nome.</w:t>
            </w:r>
          </w:p>
        </w:tc>
      </w:tr>
    </w:tbl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6.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Regras de uso</w:t>
      </w:r>
    </w:p>
    <w:p>
      <w:pPr>
        <w:pStyle w:val="Heading2"/>
        <w:spacing w:after="140" w:before="260"/>
      </w:pPr>
      <w:r>
        <w:rPr>
          <w:rFonts w:ascii="Georgia" w:cs="Georgia" w:eastAsia="Georgia" w:hAnsi="Georgia"/>
          <w:i/>
          <w:iCs/>
          <w:color w:val="1B2027"/>
          <w:sz w:val="24"/>
          <w:szCs w:val="24"/>
        </w:rPr>
        <w:t xml:space="preserve">6.1  Ferramentas aprovadas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Somente sistemas listados no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Inventário de Sistemas de IA (Anexo A)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podem ser usados em contexto de trabalho. O uso de qualquer outra ferramenta configura Shadow AI e viola esta política.</w:t>
      </w:r>
    </w:p>
    <w:p>
      <w:pPr>
        <w:pStyle w:val="Heading2"/>
        <w:spacing w:after="140" w:before="260"/>
      </w:pPr>
      <w:r>
        <w:rPr>
          <w:rFonts w:ascii="Georgia" w:cs="Georgia" w:eastAsia="Georgia" w:hAnsi="Georgia"/>
          <w:i/>
          <w:iCs/>
          <w:color w:val="1B2027"/>
          <w:sz w:val="24"/>
          <w:szCs w:val="24"/>
        </w:rPr>
        <w:t xml:space="preserve">6.2  Aprovação de novas ferramentas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Novas ferramentas ou novos casos de uso devem ser solicitados pelo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Formulário do Anexo B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e aprovados pelo Comitê antes do primeiro uso. Prazo-alvo de resposta: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[X DIAS ÚTEIS]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.</w:t>
      </w:r>
    </w:p>
    <w:p>
      <w:pPr>
        <w:pStyle w:val="Heading2"/>
        <w:spacing w:after="140" w:before="260"/>
      </w:pPr>
      <w:r>
        <w:rPr>
          <w:rFonts w:ascii="Georgia" w:cs="Georgia" w:eastAsia="Georgia" w:hAnsi="Georgia"/>
          <w:i/>
          <w:iCs/>
          <w:color w:val="1B2027"/>
          <w:sz w:val="24"/>
          <w:szCs w:val="24"/>
        </w:rPr>
        <w:t xml:space="preserve">6.3  Dados que NÃO podem ser inseridos em sistemas de IA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Dados pessoais e dados pessoais sensíveis de clientes, colaboradores ou terceiros, salvo em sistema aprovado com base legal definida pelo DPO.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Segredos de negócio: precificação, estratégia, código-fonte proprietário, contratos, dados financeiros não públicos.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Informações classificadas como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[NÍVEIS DE CLASSIFICAÇÃO DA EMPRESA, EX.: CONFIDENCIAL/RESTRITO]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.</w:t>
      </w:r>
    </w:p>
    <w:p>
      <w:pPr>
        <w:pStyle w:val="Heading2"/>
        <w:spacing w:after="140" w:before="260"/>
      </w:pPr>
      <w:r>
        <w:rPr>
          <w:rFonts w:ascii="Georgia" w:cs="Georgia" w:eastAsia="Georgia" w:hAnsi="Georgia"/>
          <w:i/>
          <w:iCs/>
          <w:color w:val="1B2027"/>
          <w:sz w:val="24"/>
          <w:szCs w:val="24"/>
        </w:rPr>
        <w:t xml:space="preserve">6.4  Condições gerais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Usar apenas contas corporativas nas ferramentas aprovadas; contas pessoais são vedadas para fins de trabalho.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Toda saída de IA destinada a cliente, público externo ou decisão deve ser revisada por humano antes do uso.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Conteúdo gerado por IA em materiais externos deve ser identificado quando exigido por lei ou por esta política: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[DEFINIR CRITÉRIO]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7.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Decisões de alto risco e supervisão humana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Todo caso de uso de IA recebe classificação de risco no momento da aprovação, conforme a matriz abaixo:</w:t>
      </w:r>
    </w:p>
    <w:tbl>
      <w:tblPr>
        <w:tblW w:type="dxa" w:w="9026"/>
        <w:tblBorders>
          <w:top w:val="single" w:color="C9C6BB" w:sz="4"/>
          <w:left w:val="single" w:color="C9C6BB" w:sz="4"/>
          <w:bottom w:val="single" w:color="C9C6BB" w:sz="4"/>
          <w:right w:val="single" w:color="C9C6BB" w:sz="4"/>
          <w:insideH w:val="single" w:color="C9C6BB" w:sz="4"/>
          <w:insideV w:val="single" w:color="C9C6BB" w:sz="4"/>
        </w:tblBorders>
      </w:tblPr>
      <w:tblGrid>
        <w:gridCol w:w="1400"/>
        <w:gridCol w:w="4300"/>
        <w:gridCol w:w="3326"/>
      </w:tblGrid>
      <w:tr>
        <w:trPr>
          <w:tblHeader/>
        </w:trPr>
        <w:tc>
          <w:tcPr>
            <w:tcW w:type="dxa" w:w="14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Nível</w:t>
            </w:r>
          </w:p>
        </w:tc>
        <w:tc>
          <w:tcPr>
            <w:tcW w:type="dxa" w:w="43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Exemplos de casos de uso</w:t>
            </w:r>
          </w:p>
        </w:tc>
        <w:tc>
          <w:tcPr>
            <w:tcW w:type="dxa" w:w="3326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Supervisão exigida</w:t>
            </w:r>
          </w:p>
        </w:tc>
      </w:tr>
      <w:t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0"/>
                <w:szCs w:val="20"/>
              </w:rPr>
              <w:t xml:space="preserve">ALTO</w:t>
            </w:r>
          </w:p>
        </w:tc>
        <w:tc>
          <w:tcPr>
            <w:tcW w:type="dxa" w:w="43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Crédito, precificação, decisões sobre pessoas (contratação, desligamento, avaliação), comunicação regulatória, decisões contratuais.</w:t>
            </w:r>
          </w:p>
        </w:tc>
        <w:tc>
          <w:tcPr>
            <w:tcW w:type="dxa" w:w="3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Validação humana obrigatória e registrada ANTES do efeito. Responsável assina (Seção 7.1).</w:t>
            </w:r>
          </w:p>
        </w:tc>
      </w:tr>
      <w:t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MÉDIO</w:t>
            </w:r>
          </w:p>
        </w:tc>
        <w:tc>
          <w:tcPr>
            <w:tcW w:type="dxa" w:w="43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Conteúdo para cliente, análises que embasam decisão humana, automações de processo com impacto reversível.</w:t>
            </w:r>
          </w:p>
        </w:tc>
        <w:tc>
          <w:tcPr>
            <w:tcW w:type="dxa" w:w="3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Revisão humana antes do uso externo; amostragem periódica.</w:t>
            </w:r>
          </w:p>
        </w:tc>
      </w:tr>
      <w:tr>
        <w:tc>
          <w:tcPr>
            <w:tcW w:type="dxa" w:w="1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BAIXO</w:t>
            </w:r>
          </w:p>
        </w:tc>
        <w:tc>
          <w:tcPr>
            <w:tcW w:type="dxa" w:w="43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Rascunhos internos, resumos, brainstorm, apoio à produtividade individual.</w:t>
            </w:r>
          </w:p>
        </w:tc>
        <w:tc>
          <w:tcPr>
            <w:tcW w:type="dxa" w:w="3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>Validação pelo próprio usuário.</w:t>
            </w:r>
          </w:p>
        </w:tc>
      </w:tr>
    </w:tbl>
    <w:p>
      <w:pPr>
        <w:spacing w:after="160"/>
      </w:pPr>
    </w:p>
    <w:p>
      <w:pPr>
        <w:pStyle w:val="Heading2"/>
        <w:spacing w:after="140" w:before="260"/>
      </w:pPr>
      <w:r>
        <w:rPr>
          <w:rFonts w:ascii="Georgia" w:cs="Georgia" w:eastAsia="Georgia" w:hAnsi="Georgia"/>
          <w:i/>
          <w:iCs/>
          <w:color w:val="1B2027"/>
          <w:sz w:val="24"/>
          <w:szCs w:val="24"/>
        </w:rPr>
        <w:t xml:space="preserve">7.1  Quem assina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Para cada caso de uso de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ALTO risco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, o Comitê designa formalmente o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responsável humano pela decisão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— com nome e cargo registrados no Inventário (Anexo A). Quando a máquina erra, essa pessoa responde e conduz a correção. Decisão de alto risco sem responsável designado é decisão proibida.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8.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Dados pessoais e privacidade (LGPD)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Todo caso de uso que trate dados pessoais passa por avaliação do DPO antes da aprovação; casos de alto risco exigem Relatório de Impacto (RIPD/DPIA).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Contratos com fornecedores de IA devem prever: finalidade e base legal, local de processamento, vedação de uso dos nossos dados para treino de modelos de terceiros (ou opt-out ativado) e prazo de retenção.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Titulares de dados podem exercer seus direitos pelo canal: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[CANAL/E-MAIL DO DPO]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9.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Registro e trilha de auditoria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Para permitir explicação e contestação posterior, a empresa mantém registro mínimo de: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Inventário atualizado de sistemas de IA (Anexo A), revisado a cada trimestre.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Aprovações e classificações de risco de cada caso de uso (Anexo B arquivado).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Validações humanas das decisões de alto risco: quem validou, quando e com base em quê.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Incidentes e desvios, registrados em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[FERRAMENTA/CANAL DE REGISTRO]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10.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Treinamento e letramento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Todo colaborador recebe orientação sobre esta política na integração e reciclagem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[ANUAL/SEMESTRAL]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Usuários de casos de ALTO risco recebem capacitação específica sobre limites, vieses e contestação do sistema que operam.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A liderança participa de letramento executivo: compreender o que a máquina faz é pré-condição para delegar a ela.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11.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Incidentes e desvios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Constitui incidente: vazamento de dados via IA, decisão automatizada danosa, uso de ferramenta não aprovada, saída de IA publicada sem revisão. Incidentes devem ser reportados imediatamente a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[CANAL DE REPORTE]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, sem punição a quem reporta de boa-fé. O Comitê registra, trata e incorpora o aprendizado à política.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12.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Conformidade e referências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ISO/IEC 42001:2023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— Sistema de Gestão de Inteligência Artificial (esta política atende à Cláusula 5.2).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Lei nº 13.709/2018 (LGPD)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— proteção de dados pessoais.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PL 2338/2023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— marco legal da IA no Brasil (acompanhar tramitação e atos da autoridade competente).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Políticas internas relacionadas: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[SEGURANÇA DA INFORMAÇÃO, CÓDIGO DE CONDUTA, PRIVACIDADE]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13.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Violações e sanções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O descumprimento desta política sujeita o infrator às medidas disciplinares previstas em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[REGULAMENTO INTERNO/CÓDIGO DE CONDUTA]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, proporcionais à gravidade e à reincidência, sem prejuízo das responsabilidades legais aplicáveis.</w:t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14.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Vigência e revisão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Esta política entra em vigor em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[DATA]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e será revisada a cada </w:t>
      </w:r>
      <w:r>
        <w:rPr>
          <w:rFonts w:ascii="Calibri" w:cs="Calibri" w:eastAsia="Calibri" w:hAnsi="Calibri"/>
          <w:b/>
          <w:bCs/>
          <w:color w:val="1D3FBF"/>
          <w:sz w:val="21"/>
          <w:szCs w:val="21"/>
        </w:rPr>
        <w:t xml:space="preserve">[6/12 MESES]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ou sempre que houver mudança regulatória ou tecnológica relevante — o que ocorrer primeiro.</w:t>
      </w:r>
    </w:p>
    <w:p>
      <w:r>
        <w:br w:type="page"/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A.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Anexo A — Inventário de Sistemas de IA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Registro único e obrigatório de todo sistema de IA em uso. O que não está aqui, não está autorizado.</w:t>
      </w:r>
    </w:p>
    <w:tbl>
      <w:tblPr>
        <w:tblW w:type="dxa" w:w="9026"/>
        <w:tblBorders>
          <w:top w:val="single" w:color="C9C6BB" w:sz="4"/>
          <w:left w:val="single" w:color="C9C6BB" w:sz="4"/>
          <w:bottom w:val="single" w:color="C9C6BB" w:sz="4"/>
          <w:right w:val="single" w:color="C9C6BB" w:sz="4"/>
          <w:insideH w:val="single" w:color="C9C6BB" w:sz="4"/>
          <w:insideV w:val="single" w:color="C9C6BB" w:sz="4"/>
        </w:tblBorders>
      </w:tblPr>
      <w:tblGrid>
        <w:gridCol w:w="1500"/>
        <w:gridCol w:w="1900"/>
        <w:gridCol w:w="1900"/>
        <w:gridCol w:w="900"/>
        <w:gridCol w:w="1500"/>
        <w:gridCol w:w="1326"/>
      </w:tblGrid>
      <w:tr>
        <w:trPr>
          <w:tblHeader/>
        </w:trPr>
        <w:tc>
          <w:tcPr>
            <w:tcW w:type="dxa" w:w="15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Ferramenta / fornecedor</w:t>
            </w:r>
          </w:p>
        </w:tc>
        <w:tc>
          <w:tcPr>
            <w:tcW w:type="dxa" w:w="19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Área e finalidade</w:t>
            </w:r>
          </w:p>
        </w:tc>
        <w:tc>
          <w:tcPr>
            <w:tcW w:type="dxa" w:w="19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Dados tratados</w:t>
            </w:r>
          </w:p>
        </w:tc>
        <w:tc>
          <w:tcPr>
            <w:tcW w:type="dxa" w:w="9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Risco</w:t>
            </w:r>
          </w:p>
        </w:tc>
        <w:tc>
          <w:tcPr>
            <w:tcW w:type="dxa" w:w="1500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Responsável humano</w:t>
            </w:r>
          </w:p>
        </w:tc>
        <w:tc>
          <w:tcPr>
            <w:tcW w:type="dxa" w:w="1326"/>
            <w:shd w:fill="1B2027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[EX.: ASSISTENTE X]</w:t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[COMERCIAL · PROPOSTAS]</w:t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[SEM DADOS PESSOAIS]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[MÉDIO]</w:t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[NOME · CARGO]</w:t>
            </w:r>
          </w:p>
        </w:tc>
        <w:tc>
          <w:tcPr>
            <w:tcW w:type="dxa" w:w="1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D3FBF"/>
                <w:sz w:val="21"/>
                <w:szCs w:val="21"/>
              </w:rPr>
              <w:t xml:space="preserve">[APROVADO]</w:t>
            </w:r>
          </w:p>
        </w:tc>
      </w:tr>
      <w:tr>
        <w:trPr>
          <w:trHeight w:val="340" w:hRule="atLeast"/>
        </w:trPr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  <w:tc>
          <w:tcPr>
            <w:tcW w:type="dxa" w:w="13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1D3FBF" w:sz="4"/>
          <w:left w:val="single" w:color="1D3FBF" w:sz="12"/>
          <w:bottom w:val="single" w:color="1D3FBF" w:sz="4"/>
          <w:right w:val="single" w:color="1D3FBF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EF1FB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/>
                <w:bCs/>
                <w:color w:val="1D3FBF"/>
                <w:sz w:val="17"/>
                <w:szCs w:val="17"/>
              </w:rPr>
              <w:t xml:space="preserve">NOTA DE PREENCHIMENTO — </w:t>
            </w:r>
            <w:r>
              <w:rPr>
                <w:rFonts w:ascii="Calibri" w:cs="Calibri" w:eastAsia="Calibri" w:hAnsi="Calibri"/>
                <w:i/>
                <w:iCs/>
                <w:color w:val="5A5F66"/>
                <w:sz w:val="20"/>
                <w:szCs w:val="20"/>
              </w:rPr>
              <w:t xml:space="preserve">Primeira rodada: peça a cada gestor a lista honesta de TUDO que a equipe usa — inclusive o que nunca foi aprovado. Anistia de entrada acelera a verdade; a partir daí, vale a Seção 6.</w:t>
            </w:r>
          </w:p>
        </w:tc>
      </w:tr>
    </w:tbl>
    <w:p>
      <w:r>
        <w:br w:type="page"/>
      </w:r>
    </w:p>
    <w:p>
      <w:pPr>
        <w:pStyle w:val="Heading1"/>
        <w:spacing w:after="200" w:before="420"/>
      </w:pPr>
      <w:r>
        <w:rPr>
          <w:rFonts w:ascii="Consolas" w:cs="Consolas" w:eastAsia="Consolas" w:hAnsi="Consolas"/>
          <w:b/>
          <w:bCs/>
          <w:color w:val="1D3FBF"/>
          <w:sz w:val="26"/>
          <w:szCs w:val="26"/>
        </w:rPr>
        <w:t xml:space="preserve">B.  </w:t>
      </w:r>
      <w:r>
        <w:rPr>
          <w:rFonts w:ascii="Georgia" w:cs="Georgia" w:eastAsia="Georgia" w:hAnsi="Georgia"/>
          <w:color w:val="1B2027"/>
          <w:sz w:val="30"/>
          <w:szCs w:val="30"/>
        </w:rPr>
        <w:t xml:space="preserve">Anexo B — Solicitação de nova ferramenta ou caso de uso</w:t>
      </w:r>
    </w:p>
    <w:tbl>
      <w:tblPr>
        <w:tblW w:type="dxa" w:w="9026"/>
        <w:tblBorders>
          <w:top w:val="single" w:color="C9C6BB" w:sz="4"/>
          <w:left w:val="single" w:color="C9C6BB" w:sz="4"/>
          <w:bottom w:val="single" w:color="C9C6BB" w:sz="4"/>
          <w:right w:val="single" w:color="C9C6BB" w:sz="4"/>
          <w:insideH w:val="single" w:color="C9C6BB" w:sz="4"/>
          <w:insideV w:val="single" w:color="C9C6BB" w:sz="4"/>
        </w:tblBorders>
      </w:tblPr>
      <w:tblGrid>
        <w:gridCol w:w="3000"/>
        <w:gridCol w:w="6026"/>
      </w:tblGrid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Solicitante (nome · cargo · área)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Ferramenta / fornecedor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Problema de negócio que resolve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Como o problema é resolvido hoje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Dados que serão inseridos (há dados pessoais?)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A saída afeta pessoas, capital ou reputação? Como?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Responsável humano proposto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Parecer do DPO (se houver dados pessoais)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Decisão do Comitê (aprovado / risco / condições)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4F3EC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1B2027"/>
                <w:sz w:val="20"/>
                <w:szCs w:val="20"/>
              </w:rPr>
              <w:t xml:space="preserve">Data e assinaturas</w:t>
            </w:r>
          </w:p>
        </w:tc>
        <w:tc>
          <w:tcPr>
            <w:tcW w:type="dxa" w:w="60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B2027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1D3FBF" w:sz="4"/>
          <w:left w:val="single" w:color="1D3FBF" w:sz="12"/>
          <w:bottom w:val="single" w:color="1D3FBF" w:sz="4"/>
          <w:right w:val="single" w:color="1D3FBF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EF1FB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/>
                <w:bCs/>
                <w:color w:val="1D3FBF"/>
                <w:sz w:val="17"/>
                <w:szCs w:val="17"/>
              </w:rPr>
              <w:t xml:space="preserve">NOTA DE PREENCHIMENTO — </w:t>
            </w:r>
            <w:r>
              <w:rPr>
                <w:rFonts w:ascii="Calibri" w:cs="Calibri" w:eastAsia="Calibri" w:hAnsi="Calibri"/>
                <w:i/>
                <w:iCs/>
                <w:color w:val="5A5F66"/>
                <w:sz w:val="20"/>
                <w:szCs w:val="20"/>
              </w:rPr>
              <w:t xml:space="preserve">A pergunta 'como o problema é resolvido hoje' é o filtro anti-fetiche: se ninguém sabe responder, o problema ainda não está claro o suficiente para ser automatizado.</w:t>
            </w:r>
          </w:p>
        </w:tc>
      </w:tr>
    </w:tbl>
    <w:p>
      <w:r>
        <w:br w:type="page"/>
      </w:r>
    </w:p>
    <w:p>
      <w:pPr>
        <w:spacing w:after="200" w:before="1400"/>
      </w:pPr>
      <w:r>
        <w:rPr>
          <w:rFonts w:ascii="Consolas" w:cs="Consolas" w:eastAsia="Consolas" w:hAnsi="Consolas"/>
          <w:b/>
          <w:bCs/>
          <w:color w:val="1D3FBF"/>
          <w:sz w:val="18"/>
          <w:szCs w:val="18"/>
        </w:rPr>
        <w:t xml:space="preserve">PRÓXIMO PASSO</w:t>
      </w:r>
    </w:p>
    <w:p>
      <w:pPr>
        <w:spacing w:after="300"/>
      </w:pPr>
      <w:r>
        <w:rPr>
          <w:rFonts w:ascii="Georgia" w:cs="Georgia" w:eastAsia="Georgia" w:hAnsi="Georgia"/>
          <w:i/>
          <w:iCs/>
          <w:color w:val="1B2027"/>
          <w:sz w:val="40"/>
          <w:szCs w:val="40"/>
        </w:rPr>
        <w:t xml:space="preserve">Este template organiza. O diagnóstico revela.</w:t>
      </w:r>
    </w:p>
    <w:p>
      <w:pPr>
        <w:spacing w:after="160" w:line="300"/>
      </w:pPr>
      <w:r>
        <w:rPr>
          <w:rFonts w:ascii="Calibri" w:cs="Calibri" w:eastAsia="Calibri" w:hAnsi="Calibri"/>
          <w:color w:val="1B2027"/>
          <w:sz w:val="21"/>
          <w:szCs w:val="21"/>
        </w:rPr>
        <w:t xml:space="preserve">Uma política bem escrita define as regras do jogo — mas não mostra </w:t>
      </w:r>
      <w:r>
        <w:rPr>
          <w:rFonts w:ascii="Calibri" w:cs="Calibri" w:eastAsia="Calibri" w:hAnsi="Calibri"/>
          <w:i/>
          <w:iCs/>
          <w:color w:val="1B2027"/>
          <w:sz w:val="21"/>
          <w:szCs w:val="21"/>
        </w:rPr>
        <w:t xml:space="preserve">onde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 a sua operação já acumulou Shadow AI, AI Debt e decisões sem dono. Esse é o trabalho do </w:t>
      </w: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Diagnóstico Estratégico de Governança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: inventário real de sistemas, matriz de risco e plano de ação pronto para o conselho.</w:t>
      </w:r>
    </w:p>
    <w:p>
      <w:pPr>
        <w:spacing w:after="60"/>
      </w:pP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Meça agora, em 5 minutos: 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Índice de Soberania Cognitiva → </w:t>
      </w:r>
      <w:r>
        <w:rPr>
          <w:b/>
          <w:bCs/>
          <w:color w:val="1D3FBF"/>
          <w:sz w:val="21"/>
          <w:szCs w:val="21"/>
        </w:rPr>
        <w:t xml:space="preserve">clarezaeacao.com.br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Leia e assine: 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Manifesto da Soberania Cognitiva → </w:t>
      </w:r>
      <w:r>
        <w:rPr>
          <w:b/>
          <w:bCs/>
          <w:color w:val="1D3FBF"/>
          <w:sz w:val="21"/>
          <w:szCs w:val="21"/>
        </w:rPr>
        <w:t xml:space="preserve">clarezaeacao.com.br/manifesto</w:t>
      </w:r>
    </w:p>
    <w:p>
      <w:pPr>
        <w:pStyle w:val="ListParagraph"/>
        <w:numPr>
          <w:ilvl w:val="0"/>
          <w:numId w:val="2"/>
        </w:numPr>
        <w:spacing w:after="100" w:line="300"/>
      </w:pPr>
      <w:r>
        <w:rPr>
          <w:rFonts w:ascii="Calibri" w:cs="Calibri" w:eastAsia="Calibri" w:hAnsi="Calibri"/>
          <w:b/>
          <w:bCs/>
          <w:color w:val="1B2027"/>
          <w:sz w:val="21"/>
          <w:szCs w:val="21"/>
        </w:rPr>
        <w:t xml:space="preserve">Fale direto comigo: </w:t>
      </w:r>
      <w:r>
        <w:rPr>
          <w:rFonts w:ascii="Calibri" w:cs="Calibri" w:eastAsia="Calibri" w:hAnsi="Calibri"/>
          <w:color w:val="1B2027"/>
          <w:sz w:val="21"/>
          <w:szCs w:val="21"/>
        </w:rPr>
        <w:t xml:space="preserve">WhatsApp (41) 99236-6848 · </w:t>
      </w:r>
      <w:r>
        <w:rPr>
          <w:b/>
          <w:bCs/>
          <w:color w:val="1D3FBF"/>
          <w:sz w:val="21"/>
          <w:szCs w:val="21"/>
        </w:rPr>
        <w:t xml:space="preserve">linkedin.com/in/zzleal</w:t>
      </w:r>
    </w:p>
    <w:p>
      <w:pPr>
        <w:spacing w:after="400"/>
      </w:pPr>
    </w:p>
    <w:p>
      <w:pPr>
        <w:pBdr>
          <w:top w:val="single" w:color="C9C6BB" w:sz="6" w:space="10"/>
        </w:pBdr>
        <w:spacing w:before="200"/>
      </w:pPr>
      <w:r>
        <w:rPr>
          <w:rFonts w:ascii="Consolas" w:cs="Consolas" w:eastAsia="Consolas" w:hAnsi="Consolas"/>
          <w:color w:val="5A5F66"/>
          <w:sz w:val="16"/>
          <w:szCs w:val="16"/>
        </w:rPr>
        <w:t xml:space="preserve">Luiz Zasevski Leal · Arquiteto de Clareza Organizacional · Clareza &amp; Ação</w:t>
      </w:r>
    </w:p>
    <w:p>
      <w:r>
        <w:rPr>
          <w:rFonts w:ascii="Consolas" w:cs="Consolas" w:eastAsia="Consolas" w:hAnsi="Consolas"/>
          <w:color w:val="5A5F66"/>
          <w:sz w:val="16"/>
          <w:szCs w:val="16"/>
        </w:rPr>
        <w:t xml:space="preserve">Distribuição livre com atribuição. Versão 1.0 · 2026.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6BB" w:sz="4" w:space="6"/>
      </w:pBdr>
      <w:jc w:val="center"/>
    </w:pPr>
    <w:r>
      <w:rPr>
        <w:rFonts w:ascii="Consolas" w:cs="Consolas" w:eastAsia="Consolas" w:hAnsi="Consolas"/>
        <w:color w:val="5A5F66"/>
        <w:sz w:val="15"/>
        <w:szCs w:val="15"/>
      </w:rPr>
      <w:t xml:space="preserve">Política de Uso e Governança de IA · </w:t>
    </w:r>
    <w:r>
      <w:rPr>
        <w:rFonts w:ascii="Consolas" w:cs="Consolas" w:eastAsia="Consolas" w:hAnsi="Consolas"/>
        <w:b/>
        <w:bCs/>
        <w:color w:val="1D3FBF"/>
        <w:sz w:val="15"/>
        <w:szCs w:val="15"/>
      </w:rPr>
      <w:t xml:space="preserve">[NOME DA EMPRESA]</w:t>
    </w:r>
    <w:r>
      <w:rPr>
        <w:rFonts w:ascii="Consolas" w:cs="Consolas" w:eastAsia="Consolas" w:hAnsi="Consolas"/>
        <w:color w:val="5A5F66"/>
        <w:sz w:val="15"/>
        <w:szCs w:val="15"/>
      </w:rPr>
      <w:t xml:space="preserve"> · uso interno · pág. </w:t>
    </w:r>
    <w:r>
      <w:rPr>
        <w:rFonts w:ascii="Consolas" w:cs="Consolas" w:eastAsia="Consolas" w:hAnsi="Consolas"/>
        <w:color w:val="5A5F6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20" w:hanging="260"/>
      </w:pPr>
      <w:rPr>
        <w:color w:val="1D3FB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02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2026-07-13T01:28:14.966Z</dcterms:created>
  <dcterms:modified xsi:type="dcterms:W3CDTF">2026-07-13T01:28:14.980Z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